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1 do umowy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SZCZEGÓŁOWY OPIS PRZEDMIOTU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Dostawa rur i elementów preizolowanych przeznaczonych dla robót budowlanych w zakresie: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Przebudowa osiedlowej sieci ciepłowniczej wraz z przyłączami do budynków przy Słupeckiej 4, 7 i 9 w Warszawie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ramach projektu: 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222222"/>
          <w:sz w:val="20"/>
          <w:szCs w:val="20"/>
          <w:highlight w:val="white"/>
          <w:u w:val="none"/>
          <w:vertAlign w:val="baseline"/>
          <w:rtl w:val="0"/>
        </w:rPr>
        <w:t xml:space="preserve">Modernizacja systemu ciepłowniczego na terenie m. st. Warszawy w celu poprawy efektywności energetycznej na lata 2025-2029 - Etap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Opis przedmiotu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zamówienia jest dostawa rur i elementów preizolowanych w płaszczu osłonowym HDPE oraz SPIRO, z rezystancyjnym systemem sygnalizacyjno-alarmowym zgodnym z systemem stosowanym w warszawskim systemie ciepłowniczym, przeznaczonych do stosowania  w warszawskim systemie ciepłowniczym.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Oferent jest zobowiązany do dostarczenia rur i elementów preizolowanych wyszczególnionych w Załączniku nr 1 w terminie do 21 dni kalendarzowych od daty złożenia zamówienia przez odbiorcę upoważnionego przez Zamawiającego. Dostawę przewiduje się na teren budowy w rejonie adresu wskazanego w Załączniku 1 lub inne miejsce na terenie Warszawy uprzednio wskazane przez Wykonawcę sieci ciepłowniczej i zaakceptowane przez Zamawiającego.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2"/>
          <w:szCs w:val="22"/>
          <w:highlight w:val="white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22222"/>
          <w:sz w:val="22"/>
          <w:szCs w:val="22"/>
          <w:highlight w:val="white"/>
          <w:u w:val="single"/>
          <w:vertAlign w:val="baseline"/>
          <w:rtl w:val="0"/>
        </w:rPr>
        <w:t xml:space="preserve">Wszystkie materiały dostarczane przez Wykonawcę w ramach realizacji zamówienia powinny stanowić wyroby budowlane w rozumieniu właściwych przepisów, w szczególności ustawy z dnia 7 lipca 1994 r.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22222"/>
          <w:sz w:val="22"/>
          <w:szCs w:val="22"/>
          <w:u w:val="single"/>
          <w:vertAlign w:val="baseline"/>
          <w:rtl w:val="0"/>
        </w:rPr>
        <w:t xml:space="preserve"> Prawo budowlane (Dz. U. z 2024 r. poz. 725 tekst jedn. z późń. zm.) oraz ustawy z dnia 16 kwietnia 2004 r. o wyrobach budowlanych (Dz. U. z 2021 r. poz. 1213 tekst jedn. z późń. zm.), or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22222"/>
          <w:sz w:val="22"/>
          <w:szCs w:val="22"/>
          <w:highlight w:val="white"/>
          <w:u w:val="single"/>
          <w:vertAlign w:val="baseline"/>
          <w:rtl w:val="0"/>
        </w:rPr>
        <w:t xml:space="preserve">az spełniać przewidziane dla tych wyrobów wymagania.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Termin realizacji dostawy materiałów zostanie każdorazowo określony w Zamówieniu.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UWAGA!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Materiały wymienione w Załączniku nr 1 stanowią propozycję  zamawianych materiałów.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ma zawierać indywidualną wycenę na jednostkę miary rur i elementów preizolowanych występujących w w/w Załącznikach w dostosowaniu do schematu montażowego.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dopuszcza możliwość zamówienia materiałów dodatkowych, poza wymienionymi w Załączniku nr 1, a niezbędnych do prawidłowego wykonania i funkcjonowania sieci ciepłowniczej zadania zgodnie z zapisami umowy. W takim przypadku zostaną zastosowane jednostkowe ceny zakupu podane w ofercie i stanowiące załącznik do umowy.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Schemat montażowy sieci ciepłowniczej stanowiący Załącznik nr 2 stanowi rozwiązanie optymalne, dostosowane do zaprojektowanej trasy sieci ciepłowniczej oraz przyjętych rozwiązań projektowych i wytrzymałościowych.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obowiązek dołączyć do oferty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czytelny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schemat montażowy przeliczony i dostosowany do oferowanych materiałów preizolowanych umożliwiający zachowanie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geometrii sieci ciepłowniczej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bez zmiany trasy sieci ciepłowniczej i spełniające warunki wytrzymałościowe. Przy przeliczaniu schematów montażowych Wykonawca ma obowiązek dobrać i uwzględnić w ofercie materiały zapewniające zachowanie niezbędnych stref kompensacyjnych (poduszki, maty itp.).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Podstawowym dokumentem do złożenia oferty jest czytelny schemat montażowy stanowiący Załącznik nr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oczywistych pomyłek w zestawieniu materiałów (Załącznik 1), należy go skorygować w oparciu o załączony schemat montażowy.          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Schemat montażowy opracowany przez Wykonawcę powinien być czytelny i wykonany przy uwzględnieniu: rozrysowania przewodu zasilającego, osi i przewodu powrotnego, zwymiarowania długości trasy do osi rurociągów, rozliczenia i podania długości elementów sieci dla minimum rurociągu zasilającego lub powrotnego, umiejscowienia i wyspecyfikowania stref kompensacyjnych.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Wszelka przekazywana dokumentacja musi być w języku polskim.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Wymagania formalne dla rur i elementów preizolowanych w płaszczu osłonowym HDPE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wg opracowania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„Eksploatacyjne wytyczne projektowania oraz wykonania rurociągów preizolowanych w osłonie PE-HD – Część I - Wymagania techniczne” – Załącznik nr 3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oraz  „Specyfikacja techniczna: Rury i elementy preizolowane w osłonie PE-HD”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– Załącznik nr 3A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1" w:right="-142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17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dopuszcza rury i elementy preizolowane w płaszczu osłonowym HDPE z rezystancyjnym systemem sygnalizacyjno-alarmowym zgodnym z systemem stosowanym w warszawskiej sieci ciepłowniczej spełniające wymogi innych norm a posiadających cechy równoważne oraz standardy i parametry określone w przywoływanych w opracowaniach PN.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17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Wytyczne wykonania rurociągów preizolowanych w płaszczu osłonowym HDPE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wg opracowania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„Eksploatacyjne wytyczne projektowania oraz wykonania rurociągów preizolowanych w osłonie PE-HD – Część II – Projektowanie i montaż” - Załącznik 4,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 Dokumentacja przewiduje grubości ścianek zgodnie z wymaganiami na dzień sporządzenia projektu. Wykonawca ma obowiązek opracować ofertę zgodnie z aktualnymi wytycznymi Veolia.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Wymagania formalne na izolację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wg.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„Wymagania techniczne oraz specyfikacja techniczna dla izolacji termicznych przeznaczonych do stosowania na rurociągach w.s.c. - Załącznik 5,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Wymagania formalne na kurki kulowe wysokoparametrowe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wg.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„Wymagań technicznych oraz specyfikacji technicznej dla kurków kulowych przeznaczonych do montażu w w.s.c.” – Załącznik nr 6 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Wymagania formalne na przepustnice zaporowo- regulujące wg.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„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Wymagań technicznych oraz specyfikacji technicznej dla przepustnic zaporowo-regulujacych przeznaczonych do montażu w w.s.c.” – Załącznik 7 - oraz „Wymagań technicznych dla armatury zaporowej i regulującej przeznaczonej do montażu w wysokoparametrowych rurociągach wodnych w.s.c.” – Załącznik 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highlight w:val="yellow"/>
          <w:u w:val="none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Specyfikacja techniczna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vertAlign w:val="baseline"/>
          <w:rtl w:val="0"/>
        </w:rPr>
        <w:t xml:space="preserve">- rury i elementy preizolowane w osłonie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a"/>
          <w:sz w:val="22"/>
          <w:szCs w:val="22"/>
          <w:rtl w:val="0"/>
        </w:rPr>
        <w:t xml:space="preserve">PE-HD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Specyfikacja „Rury i elementy preizolowane w osłonie PE-HD” stanowiąca Załącznik nr 3A, obejmuje wymagania formalne przy składaniu ofert oraz przy dostawach w ramach przetargów organizowanych przez Veolia Energia Warszawa S.A., na zakup rur i elementów preizolowanych w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osłonie PE-HD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przeznaczonych do stosowania w warszawskim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systemie ciepłowniczym.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jest zobowiązany do dostarczenia rur i elementów preizolowanych wykonanych zgodnie z </w:t>
      </w:r>
      <w:r w:rsidDel="00000000" w:rsidR="00000000" w:rsidRPr="00000000">
        <w:rPr>
          <w:rFonts w:ascii="Calibri" w:cs="Calibri" w:eastAsia="Calibri" w:hAnsi="Calibri"/>
          <w:color w:val="00000a"/>
          <w:sz w:val="22"/>
          <w:szCs w:val="22"/>
          <w:rtl w:val="0"/>
        </w:rPr>
        <w:t xml:space="preserve">Eksploatacyjnymi wytycznymi projektowania oraz wykonania rurociągów preizolowanych w osłonie PE-HD – Część I - Wymagania techniczne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stanowiącymi Załącznik nr 3.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Wykaz dokumentów wymaganych przy składaniu oferty na zakup rur i elementów preizolowanych: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Krajowe deklaracje właściwości użytkowych (KDWU)· na wyroby objęte postępowaniem (rury preizolowane, kształtki preizolowane, armatura preizolowana).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Deklaracja określająca system surowcowy zastosowany do produkcji pianki PUR.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Sprawozdanie z badania współczynnika przewodzenia przed starzeniem przeprowadzonego przez akredytowane laboratorium badawcze na aparacie rurowym, zgodnie z PN-EN 253, dla zadeklarowanego systemu surowcowego.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Sprawozdanie z badań przeprowadzonych przez akredytowane laboratorium potwierdzające właściwości użytkowe rur preizolowanych w ciągu 30 letniej eksploatacji w ciągłej temperaturze pracy 120°C (sprawozdanie z badań ścinania osiowego po starzeniu w temperaturze 170°C przez 1450 godz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lub w temperaturze 160°C przez 3600 godz.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), dla zadeklarowanego systemu surowcowego.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Deklaracja określająca producenta oraz materiał, z którego wykonan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jest osłona PE-HD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wraz z aktualnym (nie starszym, niż pół roku, licząc od dnia złożenia dokumentu) świadectwem odbioru 3.1 granulatu.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Deklaracja określająca wymiary geometryczne (średnicę i grubość ścianki) rury przewodowej i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osłony PE-HD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w funkcji DN rur preizolowanych objętych dostawą.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Dokumenty dotyczące wszystkich typów złączy preizolowanych objętych ofertą (również złączy zgrzewanych elektrycznie, kolanowych i redukcyjnych, jeśli występują):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Krajowa deklaracja właściwości użytkowych na dany typ złącza.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8" w:right="0" w:hanging="56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Sprawozdanie z badań typu złącza przeprowadzonych przez akredytowane laboratorium zgodnie z normą PN-EN 489-1:2020-01.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Sprawozdanie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powinno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zawierać dokumentację fotograficzną, która jest jego integralną częścią.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 przypadku, gdy producent złączy nie jest producentem rur preizolowanych dopuszcza się, aby wyniki badań pianki PUR ze złączy zawarte były w odrębnym sprawozdaniu.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W przypadku, gdy oferta obejmuje złącza zgrzewane elektrycznie, producent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powinien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załączyć deklarację określającą: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materiał, z którego wykonane są mufy,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gęstość i MFR tego materiału,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sprawozdanie z badań obciążenia od gruntu (w skrzyni z piaskiem), potwierdzające wytrzymałość złącza na obciążenia siłami osiowymi, powstającymi przy osiowym przemieszczaniu rury w gruncie.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color w:val="0000ff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ff"/>
          <w:sz w:val="22"/>
          <w:szCs w:val="22"/>
          <w:rtl w:val="0"/>
        </w:rPr>
        <w:t xml:space="preserve">W przypadku, gdy oferta obejmuje dostawę mat kompensacyjnych - sprawozdanie z badań maty kompensacyjnej z polietylenu sieciowanego PE-X wykonanych w akredytowanym laboratorium (zgodnie z EKSPLOATACYJNYMI WYTYCZNYMI PROJEKTOWANIA ORAZ WYKONYWANIA RUROCIĄGÓW PREIZOLOWANYCH W OSŁONIE PE-HD CZĘŚĆ I: WYMAGANIA TECHNICZNE).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przypadku , gdy oferta obejmuje złącza sieciowane radiacyjnie, producent powinien załączyć deklarację określającą stopień sieciowania osłon złączy (wymagany minimalny stopień usieciowania: 40 %, maksymalny stopień usieciowania 55 %) 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Wykaz dokumentów wymaganych wraz z dostawą materiałów preizolowanych: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Świadectwo odbioru 3.1 wg PN-EN 10204 stalowych rur przewodowych.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Instrukcja przenoszenia i składowania materiałów preizolowanych.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KDWU na dostarczane wyroby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złączy zgrzewanych elektrycznie świadectwo odbioru 3.1 wg PN-EN 10204 płyt polietylenowych, z których wykonane są złącza.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color w:val="0000ff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ff"/>
          <w:sz w:val="22"/>
          <w:szCs w:val="22"/>
          <w:rtl w:val="0"/>
        </w:rPr>
        <w:t xml:space="preserve">W przypadku, gdy oferta obejmuje dostawę mat kompensacyjnych - sprawozdanie z badań maty kompensacyjnej z polietylenu sieciowanego PE-X wykonanych w akredytowanym laboratorium (zgodnie z EKSPLOATACYJNYMI WYTYCZNYMI PROJEKTOWANIA ORAZ WYKONYWANIA RUROCIĄGÓW PREIZOLOWANYCH W OSŁONIE PE-HD CZĘŚĆ I: WYMAGANIA TECHNICZNE).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Instrukcja montażu złączy preizolowanych.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Wytyczne montażu systemu rur preizolowanych objętego ofertą.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Badania wyrobów preizolowanych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Zamawiający zastrzega sobie prawo do: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kontroli jakości materiałów i komponentów oraz procesu produkcyjnego na każdym jego etapie. Dostawca powinien powiadomić zamawiającego o rozpoczęciu produkcji,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odbioru jakościowego przed wysłaniem partii wyrobów (zespół kontrolny 2 – 3 osoby, przejazdy i pobyt u producenta na koszt dostawcy/ producenta).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Zamawiający zastrzega sobie prawo na każdym etapie realizacji umowy do kontroli, polegającej na przeprowadzeniu badań próbek pobranych z partii wyrobów z otrzymanych materiałów preizolowanych (jako partię wyrobów rozumie się komplet materiałów preizolowanych dla odrębnego zadania inwestycyjnego) w Laboratorium Badawczym Veolia Energia Warszawa S.A. lub innym posiadającym akredytację.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Celem badań jest sprawdzenie wybranych własności dostarczonych nowych wyrobów i porównanie wyników z wymaganiami określonymi w KDWU.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32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Wykazanie niezgodności może skutkować dla Dostawcy/ Producenta: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obciążeniem kosztami badań.,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142.0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odrzuceniem partii wyrobów lub obniżeniem wartości wynagrodzenia za partię materiałów, w której wykryto wady.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Elementy preizolowane mają być dostarczane w taki sposób, aby umożliwić rozładunek mechaniczny. Opakowanie nie podlega zwrotowi (dotyczy również palet).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hanging="425"/>
        <w:jc w:val="both"/>
        <w:rPr>
          <w:b w:val="0"/>
          <w:bCs w:val="0"/>
          <w:color w:val="00000a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a"/>
          <w:sz w:val="22"/>
          <w:szCs w:val="22"/>
          <w:rtl w:val="0"/>
        </w:rPr>
        <w:t xml:space="preserve"> Specyfikacja techniczna - SPIRO</w:t>
      </w:r>
    </w:p>
    <w:p w:rsidR="00000000" w:rsidDel="00000000" w:rsidP="00000000" w:rsidRDefault="00000000" w:rsidRPr="00000000" w14:paraId="0000005B">
      <w:pPr>
        <w:spacing w:after="0" w:before="24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Specyfikacja obejmuje wymagania formalne przy składaniu ofert oraz przy dostawach w ramach przetargów organizowanych przez Veolia Energia Warszawa S.A., na zakup rur i elementów preizolowanych typu SPIRO przeznaczonych do stosowania w warszawskim systemie ciepłowniczym.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0" w:afterAutospacing="0" w:before="0" w:line="276" w:lineRule="auto"/>
        <w:ind w:left="425.19685039370086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Oferent jest zobowiązany do dostarczenia rur i elementów preizolowanych wykonanych zgodnie z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Wymaganiami technicznymi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określonymi w załączniku nr 9.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0" w:afterAutospacing="0" w:before="0" w:line="276" w:lineRule="auto"/>
        <w:ind w:left="425.19685039370086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Wykaz dokumentów wymaganych przy składaniu oferty na zakup rur i elementów preizolowanych typu SPIRO przedstawiono w załączniku 9,</w:t>
      </w:r>
      <w:r w:rsidDel="00000000" w:rsidR="00000000" w:rsidRPr="00000000">
        <w:rPr>
          <w:rFonts w:ascii="Calibri" w:cs="Calibri" w:eastAsia="Calibri" w:hAnsi="Calibri"/>
          <w:color w:val="ff0000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afterAutospacing="0" w:before="0" w:line="276" w:lineRule="auto"/>
        <w:ind w:left="425.19685039370086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Wykaz dokumentów wymaganych wraz z dostawą materiałów preizolowanych SPIRO przedstawiono w załączniku 9.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0" w:before="0" w:line="276" w:lineRule="auto"/>
        <w:ind w:left="425.19685039370086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Badania i kontrola:</w:t>
      </w:r>
    </w:p>
    <w:p w:rsidR="00000000" w:rsidDel="00000000" w:rsidP="00000000" w:rsidRDefault="00000000" w:rsidRPr="00000000" w14:paraId="00000060">
      <w:pPr>
        <w:spacing w:after="0" w:before="0" w:line="276" w:lineRule="auto"/>
        <w:ind w:left="850.3937007874017" w:hanging="425.1968503937008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4.1.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Zamawiający zastrzega sobie prawo do:</w:t>
      </w:r>
    </w:p>
    <w:p w:rsidR="00000000" w:rsidDel="00000000" w:rsidP="00000000" w:rsidRDefault="00000000" w:rsidRPr="00000000" w14:paraId="00000061">
      <w:pPr>
        <w:spacing w:after="0" w:before="0" w:line="276" w:lineRule="auto"/>
        <w:ind w:left="850.3937007874017" w:hanging="425.1968503937008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kontroli jakości materiałów i komponentów oraz procesu produkcyjnego na każdym jego etapie. Dostawca powinien powiadomić zamawiającego o rozpoczęciu produkcji,</w:t>
      </w:r>
    </w:p>
    <w:p w:rsidR="00000000" w:rsidDel="00000000" w:rsidP="00000000" w:rsidRDefault="00000000" w:rsidRPr="00000000" w14:paraId="00000062">
      <w:pPr>
        <w:spacing w:after="0" w:before="0" w:line="276" w:lineRule="auto"/>
        <w:ind w:left="850.3937007874017" w:hanging="425.1968503937008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odbioru jakościowego przed wysłaniem partii wyrobów (zespół kontrolny 2 – 3 osoby, przejazdy i pobyt u producenta na koszt dostawcy/ producenta)</w:t>
      </w:r>
    </w:p>
    <w:p w:rsidR="00000000" w:rsidDel="00000000" w:rsidP="00000000" w:rsidRDefault="00000000" w:rsidRPr="00000000" w14:paraId="00000063">
      <w:pPr>
        <w:spacing w:after="0" w:before="0" w:line="276" w:lineRule="auto"/>
        <w:ind w:left="850.3937007874017" w:hanging="425.1968503937008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4.2.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Zamawiający zastrzega sobie prawo na każdym etapie realizacji umowy do kontroli, polegającej na przeprowadzeniu badań próbek pobranych z partii wyrobów z otrzymanych materiałów preizolowanych (jako partię wyrobów rozumie się komplet materiałów preizolowanych dla odrębnego zadania inwestycyjnego) w akredytowanym laboratorium badawczym.</w:t>
      </w:r>
    </w:p>
    <w:p w:rsidR="00000000" w:rsidDel="00000000" w:rsidP="00000000" w:rsidRDefault="00000000" w:rsidRPr="00000000" w14:paraId="00000064">
      <w:pPr>
        <w:spacing w:after="0" w:before="0" w:line="276" w:lineRule="auto"/>
        <w:ind w:left="850.3937007874017" w:hanging="425.1968503937008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4.3.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Celem badań jest sprawdzenie wybranych własności dostarczonych wyrobów i porównanie wyników z wymaganiami określonymi w krajowej ocenie technicznej. Wykazanie niezgodności może skutkować dla Dostawcy/ Producenta:</w:t>
      </w:r>
    </w:p>
    <w:p w:rsidR="00000000" w:rsidDel="00000000" w:rsidP="00000000" w:rsidRDefault="00000000" w:rsidRPr="00000000" w14:paraId="00000065">
      <w:pPr>
        <w:spacing w:after="0" w:before="0" w:line="276" w:lineRule="auto"/>
        <w:ind w:left="1133.858267716535" w:hanging="425.1968503937004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4.3.1.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obciążeniem kosztami badań,</w:t>
      </w:r>
    </w:p>
    <w:p w:rsidR="00000000" w:rsidDel="00000000" w:rsidP="00000000" w:rsidRDefault="00000000" w:rsidRPr="00000000" w14:paraId="00000066">
      <w:pPr>
        <w:spacing w:after="0" w:before="0" w:line="276" w:lineRule="auto"/>
        <w:ind w:left="1133.858267716535" w:hanging="425.1968503937004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4.3.2.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odrzuceniem partii wyrobów lub obniżeniem wartości wynagrodzenia za partię materiałów, w której wykryto wady.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425.19685039370086" w:right="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Elementy preizolowane mają być dostarczane w taki sposób, aby umożliwić rozładunek mechaniczny. Opakowanie nie podlega zwrotowi (dotyczy również palet).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single"/>
          <w:shd w:fill="auto" w:val="clear"/>
          <w:vertAlign w:val="baseline"/>
          <w:rtl w:val="0"/>
        </w:rPr>
        <w:t xml:space="preserve">Załączniki: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1. </w:t>
        <w:tab/>
        <w:t xml:space="preserve">Zestawienie rur i elementów preizolowanych. </w:t>
      </w:r>
    </w:p>
    <w:p w:rsidR="00000000" w:rsidDel="00000000" w:rsidP="00000000" w:rsidRDefault="00000000" w:rsidRPr="00000000" w14:paraId="0000006B">
      <w:pPr>
        <w:spacing w:line="276" w:lineRule="auto"/>
        <w:ind w:left="0" w:firstLine="0"/>
        <w:jc w:val="both"/>
        <w:rPr>
          <w:rFonts w:ascii="Calibri" w:cs="Calibri" w:eastAsia="Calibri" w:hAnsi="Calibri"/>
          <w:color w:val="00000a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a"/>
          <w:sz w:val="22"/>
          <w:szCs w:val="22"/>
          <w:rtl w:val="0"/>
        </w:rPr>
        <w:t xml:space="preserve">Załącznik nr 1A.      Parametry równoważne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2. </w:t>
        <w:tab/>
        <w:t xml:space="preserve">Schemat montażowy / tylko wersja elektroniczna/,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2a. </w:t>
        <w:tab/>
        <w:t xml:space="preserve">Profile s.c. i przyłącza s.c. / tylko wersja elektroniczna/,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3. 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Eksploatacyjne wytyczne projektowania oraz wykonania rurociągów preizolowanych w osłonie PE-HD – Część I - Wymagania techniczne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3A. </w:t>
        <w:tab/>
        <w:t xml:space="preserve">Specyfikacja techniczna: Rury i elementy preizolowane w osłonie PE-HD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4. </w:t>
        <w:tab/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Eksploatacyjne wytyczne projektowania oraz wykonania rurociągów preizolowanych w osłonie PE-HD – Część II – Projektowanie i montaż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5. </w:t>
        <w:tab/>
        <w:t xml:space="preserve">Wymagania techniczne oraz Specyfikacja techniczna dla izolacji termicznych przeznaczonych do stosowania na rurociągach w.s.c.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6. Wymagania techniczne oraz Specyfikacja techniczna dla kurków kulowych przeznaczonych do montażu w w.s.c.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7. Wymagania techniczne oraz Specyfikacja techniczna dla przepustnic zaporowo-regulujących przeznaczonych do montażu w w.s.c.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8. </w:t>
        <w:tab/>
        <w:t xml:space="preserve">Wymagania techniczne dla armatury zaporowej i regulującej przeznaczonej do montażu w wysokoparametrowych rurociągach wodnych w.s.c.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color w:val="00000a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Załącznik nr 9.</w:t>
        <w:tab/>
      </w:r>
      <w:r w:rsidDel="00000000" w:rsidR="00000000" w:rsidRPr="00000000">
        <w:rPr>
          <w:rFonts w:ascii="Calibri" w:cs="Calibri" w:eastAsia="Calibri" w:hAnsi="Calibri"/>
          <w:color w:val="00000a"/>
          <w:sz w:val="22"/>
          <w:szCs w:val="22"/>
          <w:rtl w:val="0"/>
        </w:rPr>
        <w:t xml:space="preserve">Wymagania techniczne oraz specyfikacja techniczna dla rur preizolowanych typu SPIRO DN≤300 przeznaczonych do budowy rurociągów przebiegających tranzytem przez budynki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color w:val="00000a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a"/>
          <w:sz w:val="22"/>
          <w:szCs w:val="22"/>
          <w:rtl w:val="0"/>
        </w:rPr>
        <w:t xml:space="preserve">Załącznik nr 10. </w:t>
        <w:tab/>
        <w:t xml:space="preserve">nie dotyczy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Załącznik nr 11.</w:t>
        <w:tab/>
        <w:t xml:space="preserve">Wymagania techniczne - zwężki stalowe symetryczne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1" w:right="0" w:hanging="17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0" w:right="0" w:hanging="15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6838" w:w="11906" w:orient="portrait"/>
      <w:pgMar w:bottom="426" w:top="851" w:left="1684" w:right="991" w:header="0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877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877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877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877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br w:type="textWrapping"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080" w:hanging="360"/>
      </w:pPr>
      <w:rPr>
        <w:rFonts w:ascii="Calibri" w:cs="Calibri" w:eastAsia="Calibri" w:hAnsi="Calibri"/>
        <w:b w:val="1"/>
        <w:bCs w:val="1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.999999999999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.999999999999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ny">
    <w:name w:val="Normalny"/>
    <w:next w:val="Normalny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20">
    <w:name w:val="Nagłówek 2"/>
    <w:basedOn w:val="Normalny"/>
    <w:next w:val="Normalny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cs="Times New Roman" w:eastAsia="Times New Roman" w:hAnsi="Cambria"/>
      <w:b w:val="1"/>
      <w:bCs w:val="1"/>
      <w:i w:val="1"/>
      <w:iCs w:val="1"/>
      <w:color w:val="auto"/>
      <w:w w:val="100"/>
      <w:position w:val="-1"/>
      <w:sz w:val="28"/>
      <w:szCs w:val="28"/>
      <w:effect w:val="none"/>
      <w:vertAlign w:val="baseline"/>
      <w:cs w:val="0"/>
      <w:em w:val="none"/>
      <w:lang w:bidi="ar-SA" w:eastAsia="pl-PL" w:val="pl-PL"/>
    </w:rPr>
  </w:style>
  <w:style w:type="paragraph" w:styleId="Nagłówek31">
    <w:name w:val="Nagłówek 3"/>
    <w:basedOn w:val="Normalny"/>
    <w:next w:val="Normalny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Arial" w:cs="Times New Roman" w:eastAsia="Times New Roman" w:hAnsi="Arial"/>
      <w:b w:val="1"/>
      <w:bCs w:val="1"/>
      <w:color w:val="auto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rFonts w:ascii="Arial" w:cs="Arial" w:hAnsi="Arial"/>
      <w:b w:val="1"/>
      <w:bCs w:val="1"/>
      <w:color w:val="00000a"/>
      <w:w w:val="100"/>
      <w:position w:val="-1"/>
      <w:effect w:val="none"/>
      <w:shd w:color="auto" w:fill="ffff00" w:val="clear"/>
      <w:vertAlign w:val="baseline"/>
      <w:cs w:val="0"/>
      <w:em w:val="none"/>
      <w:lang w:val="pl-PL"/>
    </w:rPr>
  </w:style>
  <w:style w:type="character" w:styleId="WW8Num1z2">
    <w:name w:val="WW8Num1z2"/>
    <w:next w:val="WW8Num1z2"/>
    <w:autoRedefine w:val="0"/>
    <w:hidden w:val="0"/>
    <w:qFormat w:val="0"/>
    <w:rPr>
      <w:b w:val="0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b w:val="0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color w:val="ff0000"/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omyślnaczcionkaakapitu1">
    <w:name w:val="Domyślna czcionka akapitu1"/>
    <w:next w:val="Domyślnaczcionkaakapitu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agłówekZnak">
    <w:name w:val="Nagłówek Znak"/>
    <w:next w:val="NagłówekZnak"/>
    <w:autoRedefine w:val="0"/>
    <w:hidden w:val="0"/>
    <w:qFormat w:val="0"/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val="en-US"/>
    </w:rPr>
  </w:style>
  <w:style w:type="character" w:styleId="StopkaZnak">
    <w:name w:val="Stopka Znak"/>
    <w:next w:val="StopkaZnak"/>
    <w:autoRedefine w:val="0"/>
    <w:hidden w:val="0"/>
    <w:qFormat w:val="0"/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val="en-US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Tahoma" w:cs="Tahoma" w:eastAsia="ヒラギノ角ゴ Pro W3" w:hAnsi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val="en-US"/>
    </w:rPr>
  </w:style>
  <w:style w:type="character" w:styleId="ListLabel1">
    <w:name w:val="ListLabel 1"/>
    <w:next w:val="ListLabel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ListLabel2">
    <w:name w:val="ListLabel 2"/>
    <w:next w:val="ListLabel2"/>
    <w:autoRedefine w:val="0"/>
    <w:hidden w:val="0"/>
    <w:qFormat w:val="0"/>
    <w:rPr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ListLabel3">
    <w:name w:val="ListLabel 3"/>
    <w:next w:val="ListLabel3"/>
    <w:autoRedefine w:val="0"/>
    <w:hidden w:val="0"/>
    <w:qFormat w:val="0"/>
    <w:rPr>
      <w:b w:val="0"/>
      <w:color w:val="00000a"/>
      <w:w w:val="100"/>
      <w:position w:val="-1"/>
      <w:effect w:val="none"/>
      <w:vertAlign w:val="baseline"/>
      <w:cs w:val="0"/>
      <w:em w:val="none"/>
      <w:lang/>
    </w:rPr>
  </w:style>
  <w:style w:type="character" w:styleId="ListLabel4">
    <w:name w:val="ListLabel 4"/>
    <w:next w:val="ListLabel4"/>
    <w:autoRedefine w:val="0"/>
    <w:hidden w:val="0"/>
    <w:qFormat w:val="0"/>
    <w:rPr>
      <w:color w:val="ff0000"/>
      <w:w w:val="100"/>
      <w:position w:val="-1"/>
      <w:effect w:val="none"/>
      <w:vertAlign w:val="baseline"/>
      <w:cs w:val="0"/>
      <w:em w:val="none"/>
      <w:lang/>
    </w:rPr>
  </w:style>
  <w:style w:type="character" w:styleId="TekstdymkaZnak1">
    <w:name w:val="Tekst dymka Znak1"/>
    <w:next w:val="TekstdymkaZnak1"/>
    <w:autoRedefine w:val="0"/>
    <w:hidden w:val="0"/>
    <w:qFormat w:val="0"/>
    <w:rPr>
      <w:rFonts w:ascii="Tahoma" w:cs="Tahoma" w:eastAsia="ヒラギノ角ゴ Pro W3" w:hAnsi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val="en-US"/>
    </w:rPr>
  </w:style>
  <w:style w:type="paragraph" w:styleId="Nagłówek3">
    <w:name w:val="Nagłówek3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">
    <w:name w:val="Lista"/>
    <w:basedOn w:val="Tekstpodstawowy"/>
    <w:next w:val="Lista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Podpis2">
    <w:name w:val="Podpis2"/>
    <w:basedOn w:val="Normalny"/>
    <w:next w:val="Podpis2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ヒラギノ角ゴ Pro W3" w:hAnsi="Arial"/>
      <w:i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Indeks">
    <w:name w:val="Indeks"/>
    <w:basedOn w:val="Normalny"/>
    <w:next w:val="Indeks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2">
    <w:name w:val="Nagłówek2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Podpis1">
    <w:name w:val="Podpis1"/>
    <w:basedOn w:val="Normalny"/>
    <w:next w:val="Podpis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ヒラギノ角ゴ Pro W3" w:hAnsi="Arial"/>
      <w:i w:val="1"/>
      <w:iCs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1">
    <w:name w:val="Nagłówek1"/>
    <w:next w:val="Nagłówek1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effect w:val="none"/>
      <w:vertAlign w:val="baseline"/>
      <w:cs w:val="0"/>
      <w:em w:val="none"/>
      <w:lang w:bidi="ar-SA" w:eastAsia="ar-SA" w:val="en-US"/>
    </w:rPr>
  </w:style>
  <w:style w:type="paragraph" w:styleId="Stopka1">
    <w:name w:val="Stopka1"/>
    <w:next w:val="Stopka1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effect w:val="none"/>
      <w:vertAlign w:val="baseline"/>
      <w:cs w:val="0"/>
      <w:em w:val="none"/>
      <w:lang w:bidi="ar-SA" w:eastAsia="ar-SA" w:val="en-US"/>
    </w:rPr>
  </w:style>
  <w:style w:type="paragraph" w:styleId="Nagłówek">
    <w:name w:val="Nagłówek"/>
    <w:basedOn w:val="Normalny"/>
    <w:next w:val="Nagłówek"/>
    <w:autoRedefine w:val="0"/>
    <w:hidden w:val="0"/>
    <w:qFormat w:val="0"/>
    <w:pPr>
      <w:numPr>
        <w:ilvl w:val="0"/>
        <w:numId w:val="0"/>
      </w:numPr>
      <w:suppressLineNumbers w:val="1"/>
      <w:tabs>
        <w:tab w:val="center" w:leader="none" w:pos="4536"/>
        <w:tab w:val="right" w:leader="none" w:pos="9072"/>
      </w:tabs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Stopka">
    <w:name w:val="Stopka"/>
    <w:basedOn w:val="Normalny"/>
    <w:next w:val="Stopka"/>
    <w:autoRedefine w:val="0"/>
    <w:hidden w:val="0"/>
    <w:qFormat w:val="0"/>
    <w:pPr>
      <w:numPr>
        <w:ilvl w:val="0"/>
        <w:numId w:val="0"/>
      </w:numPr>
      <w:suppressLineNumbers w:val="1"/>
      <w:tabs>
        <w:tab w:val="center" w:leader="none" w:pos="4536"/>
        <w:tab w:val="right" w:leader="none" w:pos="9072"/>
      </w:tabs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BalloonText">
    <w:name w:val="Balloon Text"/>
    <w:basedOn w:val="Normalny"/>
    <w:next w:val="BalloonText"/>
    <w:autoRedefine w:val="0"/>
    <w:hidden w:val="0"/>
    <w:qFormat w:val="0"/>
    <w:pPr>
      <w:numPr>
        <w:ilvl w:val="0"/>
        <w:numId w:val="0"/>
      </w:numPr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rFonts w:ascii="Tahoma" w:cs="Tahoma" w:eastAsia="ヒラギノ角ゴ Pro W3" w:hAnsi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pl-PL"/>
    </w:rPr>
  </w:style>
  <w:style w:type="paragraph" w:styleId="ListParagraph">
    <w:name w:val="List Paragraph"/>
    <w:basedOn w:val="Normalny"/>
    <w:next w:val="ListParagraph"/>
    <w:autoRedefine w:val="0"/>
    <w:hidden w:val="0"/>
    <w:qFormat w:val="0"/>
    <w:pPr>
      <w:numPr>
        <w:ilvl w:val="0"/>
        <w:numId w:val="0"/>
      </w:numPr>
      <w:suppressAutoHyphens w:val="0"/>
      <w:spacing w:after="200" w:before="0" w:line="276" w:lineRule="auto"/>
      <w:ind w:left="720" w:right="0" w:leftChars="-1" w:rightChars="0" w:firstLine="0" w:firstLineChars="-1"/>
      <w:textDirection w:val="btLr"/>
      <w:textAlignment w:val="top"/>
      <w:outlineLvl w:val="0"/>
    </w:pPr>
    <w:rPr>
      <w:rFonts w:ascii="Calibri" w:cs="" w:eastAsia="ヒラギノ角ゴ Pro W3" w:hAnsi="Calibri"/>
      <w:color w:val="00000a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pl-PL"/>
    </w:r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eastAsia="ヒラギノ角ゴ Pro W3" w:hAnsi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pl-PL"/>
    </w:rPr>
  </w:style>
  <w:style w:type="character" w:styleId="Nagłówek3Znak">
    <w:name w:val="Nagłówek 3 Znak"/>
    <w:next w:val="Nagłówek3Znak"/>
    <w:autoRedefine w:val="0"/>
    <w:hidden w:val="0"/>
    <w:qFormat w:val="0"/>
    <w:rPr>
      <w:rFonts w:ascii="Arial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eastAsia="und" w:val="und"/>
    </w:rPr>
  </w:style>
  <w:style w:type="paragraph" w:styleId="Tekstpodstawowy3">
    <w:name w:val="Tekst podstawowy 3"/>
    <w:basedOn w:val="Normalny"/>
    <w:next w:val="Tekstpodstawowy3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Tekstpodstawowy3Znak">
    <w:name w:val="Tekst podstawowy 3 Znak"/>
    <w:next w:val="Tekstpodstawowy3Znak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eastAsia="und" w:val="und"/>
    </w:rPr>
  </w:style>
  <w:style w:type="paragraph" w:styleId="BodyText21">
    <w:name w:val="Body Text 21"/>
    <w:basedOn w:val="Normalny"/>
    <w:next w:val="BodyText21"/>
    <w:autoRedefine w:val="0"/>
    <w:hidden w:val="0"/>
    <w:qFormat w:val="0"/>
    <w:pPr>
      <w:tabs>
        <w:tab w:val="left" w:leader="none" w:pos="900"/>
      </w:tabs>
      <w:suppressAutoHyphens w:val="1"/>
      <w:spacing w:line="36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position w:val="-1"/>
      <w:sz w:val="22"/>
      <w:szCs w:val="20"/>
      <w:effect w:val="none"/>
      <w:vertAlign w:val="baseline"/>
      <w:cs w:val="0"/>
      <w:em w:val="none"/>
      <w:lang w:bidi="ar-SA" w:eastAsia="pl-PL" w:val="pl-PL"/>
    </w:rPr>
  </w:style>
  <w:style w:type="character" w:styleId="Nagłówek2Znak">
    <w:name w:val="Nagłówek 2 Znak"/>
    <w:next w:val="Nagłówek2Znak"/>
    <w:autoRedefine w:val="0"/>
    <w:hidden w:val="0"/>
    <w:qFormat w:val="0"/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0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character" w:styleId="Odwołaniedokomentarza">
    <w:name w:val="Odwołanie do komentarza"/>
    <w:next w:val="Odwołaniedokomentarza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kstkomentarza">
    <w:name w:val="Tekst komentarza"/>
    <w:basedOn w:val="Normalny"/>
    <w:next w:val="Tekstkomentarza"/>
    <w:autoRedefine w:val="0"/>
    <w:hidden w:val="0"/>
    <w:qFormat w:val="1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position w:val="-1"/>
      <w:sz w:val="20"/>
      <w:szCs w:val="20"/>
      <w:effect w:val="none"/>
      <w:vertAlign w:val="baseline"/>
      <w:cs w:val="0"/>
      <w:em w:val="none"/>
      <w:lang w:bidi="ar-SA" w:eastAsia="ar-SA" w:val="pl-PL"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podstawowy31">
    <w:name w:val="Tekst podstawowy 31"/>
    <w:basedOn w:val="Normalny"/>
    <w:next w:val="Tekstpodstawowy31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position w:val="-1"/>
      <w:sz w:val="16"/>
      <w:szCs w:val="16"/>
      <w:effect w:val="none"/>
      <w:vertAlign w:val="baseline"/>
      <w:cs w:val="0"/>
      <w:em w:val="none"/>
      <w:lang w:bidi="ar-SA" w:eastAsia="ar-SA" w:val="und"/>
    </w:rPr>
  </w:style>
  <w:style w:type="character" w:styleId="Odwołanieprzypisudolnego">
    <w:name w:val="Odwołanie przypisu dolnego"/>
    <w:next w:val="Odwołanieprzypisudolnego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Tekstprzypisudolnego">
    <w:name w:val="Tekst przypisu dolnego"/>
    <w:basedOn w:val="Normalny"/>
    <w:next w:val="Tekstprzypisudolnego"/>
    <w:autoRedefine w:val="0"/>
    <w:hidden w:val="0"/>
    <w:qFormat w:val="0"/>
    <w:pPr>
      <w:suppressAutoHyphens w:val="1"/>
      <w:spacing w:line="300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 New Roman" w:cs="Times New Roman" w:eastAsia="Calibri" w:hAnsi="Times New Roman"/>
      <w:color w:val="auto"/>
      <w:w w:val="100"/>
      <w:position w:val="-1"/>
      <w:sz w:val="20"/>
      <w:szCs w:val="20"/>
      <w:effect w:val="none"/>
      <w:vertAlign w:val="baseline"/>
      <w:cs w:val="0"/>
      <w:em w:val="none"/>
      <w:lang w:bidi="ar-SA" w:eastAsia="pl-PL" w:val="pl-PL"/>
    </w:rPr>
  </w:style>
  <w:style w:type="character" w:styleId="TekstprzypisudolnegoZnak">
    <w:name w:val="Tekst przypisu dolnego Znak"/>
    <w:next w:val="Tekstprzypisudolnego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iperłącze">
    <w:name w:val="Hiperłącze"/>
    <w:next w:val="Hiperłącze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paragraph" w:styleId="Akapitzlistą1">
    <w:name w:val="Akapit z listą1"/>
    <w:basedOn w:val="Normalny"/>
    <w:next w:val="Akapitzlistą1"/>
    <w:autoRedefine w:val="0"/>
    <w:hidden w:val="0"/>
    <w:qFormat w:val="0"/>
    <w:pPr>
      <w:suppressAutoHyphens w:val="0"/>
      <w:spacing w:after="200" w:line="276" w:lineRule="auto"/>
      <w:ind w:left="720" w:leftChars="-1" w:rightChars="0" w:firstLineChars="-1"/>
      <w:textDirection w:val="btLr"/>
      <w:textAlignment w:val="top"/>
      <w:outlineLvl w:val="0"/>
    </w:pPr>
    <w:rPr>
      <w:rFonts w:ascii="Calibri" w:cs="font312" w:eastAsia="ヒラギノ角ゴ Pro W3" w:hAnsi="Calibri"/>
      <w:color w:val="00000a"/>
      <w:w w:val="100"/>
      <w:position w:val="-1"/>
      <w:sz w:val="22"/>
      <w:szCs w:val="22"/>
      <w:effect w:val="none"/>
      <w:vertAlign w:val="baseline"/>
      <w:cs w:val="0"/>
      <w:em w:val="none"/>
      <w:lang w:bidi="ar-SA" w:eastAsia="ar-SA" w:val="pl-PL"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1"/>
    <w:pPr>
      <w:suppressAutoHyphens w:val="0"/>
      <w:spacing w:after="120" w:line="1" w:lineRule="atLeast"/>
      <w:ind w:left="283" w:leftChars="-1" w:rightChars="0" w:firstLineChars="-1"/>
      <w:textDirection w:val="btLr"/>
      <w:textAlignment w:val="top"/>
      <w:outlineLvl w:val="0"/>
    </w:pPr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bidi="ar-SA" w:eastAsia="ar-SA" w:val="pl-PL"/>
    </w:rPr>
  </w:style>
  <w:style w:type="character" w:styleId="TekstpodstawowywciętyZnak">
    <w:name w:val="Tekst podstawowy wcięty Znak"/>
    <w:next w:val="TekstpodstawowywciętyZnak"/>
    <w:autoRedefine w:val="0"/>
    <w:hidden w:val="0"/>
    <w:qFormat w:val="0"/>
    <w:rPr>
      <w:rFonts w:ascii="Arial" w:cs="Arial" w:eastAsia="ヒラギノ角ゴ Pro W3" w:hAnsi="Arial"/>
      <w:color w:val="000000"/>
      <w:w w:val="100"/>
      <w:position w:val="-1"/>
      <w:sz w:val="22"/>
      <w:szCs w:val="24"/>
      <w:effect w:val="none"/>
      <w:vertAlign w:val="baseline"/>
      <w:cs w:val="0"/>
      <w:em w:val="none"/>
      <w:lang w:eastAsia="ar-SA" w:val="en-US"/>
    </w:rPr>
  </w:style>
  <w:style w:type="table" w:styleId="Tabela-Siatka">
    <w:name w:val="Tabela - Siatka"/>
    <w:basedOn w:val="Standardowy"/>
    <w:next w:val="Tabela-Siat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-Siatk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ScThOoDRz+mZa4T3QX+E6wz6dA==">CgMxLjAyCGguZ2pkZ3hzOAByITE0bTE1M1hTeHJwVko1Z3QzOHV0TUNSTVVMZVhUbGd1OQ==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2024-02-16T09:01:00Z</dcterms:created>
  <dc:creator>dunaj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str>12.0000</vt:lpstr>
  </property>
  <property fmtid="{D5CDD505-2E9C-101B-9397-08002B2CF9AE}" pid="3" name="Company">
    <vt:lpstr>Dalkia</vt:lp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